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PROŠNJA ZA PLAČANI DOPUST ZARADI ASISTENCE PRIZADETEMU DRUŽINSKEMU ČLANU  </w:t>
      </w:r>
    </w:p>
    <w:p>
      <w:pPr>
        <w:pStyle w:val="Normal"/>
        <w:jc w:val="center"/>
        <w:rPr>
          <w:b/>
        </w:rPr>
      </w:pPr>
      <w:r>
        <w:rPr>
          <w:b/>
        </w:rPr>
        <w:t>(3 dni mesečno)</w:t>
      </w:r>
    </w:p>
    <w:p>
      <w:pPr>
        <w:pStyle w:val="Normal"/>
        <w:jc w:val="center"/>
        <w:rPr/>
      </w:pPr>
      <w:r>
        <w:rPr/>
        <w:t>(zakon št. 104/1992 člen št. 33, 3. odst ; zakon št. 53/2000, člen št. 19 in člen št. 20)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ind w:firstLine="5220"/>
        <w:rPr>
          <w:b/>
        </w:rPr>
      </w:pPr>
      <w:r>
        <w:rPr>
          <w:b/>
        </w:rPr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900"/>
        <w:gridCol w:w="540"/>
        <w:gridCol w:w="1620"/>
        <w:gridCol w:w="2520"/>
        <w:gridCol w:w="91"/>
        <w:gridCol w:w="347"/>
        <w:gridCol w:w="1399"/>
        <w:gridCol w:w="1969"/>
      </w:tblGrid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511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 xml:space="preserve">   </w:t>
            </w:r>
            <w:r>
              <w:rPr/>
              <w:t>s stalnim bivališčem v</w:t>
            </w:r>
          </w:p>
        </w:tc>
        <w:tc>
          <w:tcPr>
            <w:tcW w:w="380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908" w:type="dxa"/>
            <w:gridSpan w:val="3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ul./trg/kraj/cesta</w:t>
            </w:r>
          </w:p>
        </w:tc>
        <w:tc>
          <w:tcPr>
            <w:tcW w:w="423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15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profesor/ica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za nedoločen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za določen čas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na osnovi člena št. 33 zak. št.104/1992 , ki je bil dopolnjen s členom 21 zak. odl. št. 324/1993 , n. 324 , spremenjen s popravki v zak. št. 423/1993, ter po členu št. 3, 38. odst. zak. št. 537/1993 in po členu št. 20 zak. št. 53/2000 ter zak. odl. št 151/2001, člen št. 42, 5bis odst..:</w:t>
      </w:r>
    </w:p>
    <w:tbl>
      <w:tblPr>
        <w:tblW w:w="6000" w:type="dxa"/>
        <w:jc w:val="start"/>
        <w:tblInd w:w="0" w:type="dxa"/>
        <w:tblLayout w:type="fixed"/>
        <w:tblCellMar>
          <w:top w:w="50" w:type="dxa"/>
          <w:start w:w="50" w:type="dxa"/>
          <w:bottom w:w="50" w:type="dxa"/>
          <w:end w:w="50" w:type="dxa"/>
        </w:tblCellMar>
      </w:tblPr>
      <w:tblGrid>
        <w:gridCol w:w="3000"/>
        <w:gridCol w:w="3000"/>
      </w:tblGrid>
      <w:tr>
        <w:trPr/>
        <w:tc>
          <w:tcPr>
            <w:tcW w:w="3000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ab/>
            </w:r>
          </w:p>
        </w:tc>
        <w:tc>
          <w:tcPr>
            <w:tcW w:w="3000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dan/dneva/dni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  <w:t>PLAČANEGA DOPUSTA ZA ASISTENCO NA DOMU SVOJEMU DRUŽINSKEMU ČLANU</w:t>
      </w:r>
    </w:p>
    <w:tbl>
      <w:tblPr>
        <w:tblW w:w="9237" w:type="dxa"/>
        <w:jc w:val="start"/>
        <w:tblInd w:w="0" w:type="dxa"/>
        <w:tblLayout w:type="fixed"/>
        <w:tblCellMar>
          <w:top w:w="50" w:type="dxa"/>
          <w:start w:w="50" w:type="dxa"/>
          <w:bottom w:w="50" w:type="dxa"/>
          <w:end w:w="50" w:type="dxa"/>
        </w:tblCellMar>
      </w:tblPr>
      <w:tblGrid>
        <w:gridCol w:w="4748"/>
        <w:gridCol w:w="4489"/>
      </w:tblGrid>
      <w:tr>
        <w:trPr/>
        <w:tc>
          <w:tcPr>
            <w:tcW w:w="4748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ime in priimek</w:t>
            </w:r>
          </w:p>
        </w:tc>
        <w:tc>
          <w:tcPr>
            <w:tcW w:w="4489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vrsta sorodstva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  <w:t>ki mu je bil priznan hendikap (po zak. št. 104/1992, člen št. 3, 3.odst.), kot izhaja iz dokumentacije, ki jo je podpisani/a že predstavil uradu v naslovu.</w:t>
      </w:r>
    </w:p>
    <w:tbl>
      <w:tblPr>
        <w:tblW w:w="9000" w:type="dxa"/>
        <w:jc w:val="start"/>
        <w:tblInd w:w="0" w:type="dxa"/>
        <w:tblLayout w:type="fixed"/>
        <w:tblCellMar>
          <w:top w:w="50" w:type="dxa"/>
          <w:start w:w="50" w:type="dxa"/>
          <w:bottom w:w="50" w:type="dxa"/>
          <w:end w:w="50" w:type="dxa"/>
        </w:tblCellMar>
      </w:tblPr>
      <w:tblGrid>
        <w:gridCol w:w="1816"/>
        <w:gridCol w:w="2199"/>
        <w:gridCol w:w="4985"/>
      </w:tblGrid>
      <w:tr>
        <w:trPr/>
        <w:tc>
          <w:tcPr>
            <w:tcW w:w="1816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ab/>
              <w:tab/>
              <w:t>1.</w:t>
            </w:r>
          </w:p>
        </w:tc>
        <w:tc>
          <w:tcPr>
            <w:tcW w:w="2199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od ________________</w:t>
            </w:r>
          </w:p>
        </w:tc>
        <w:tc>
          <w:tcPr>
            <w:tcW w:w="4985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do ________________</w:t>
            </w:r>
          </w:p>
        </w:tc>
      </w:tr>
      <w:tr>
        <w:trPr/>
        <w:tc>
          <w:tcPr>
            <w:tcW w:w="1816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ab/>
              <w:tab/>
              <w:t>2.</w:t>
            </w:r>
          </w:p>
        </w:tc>
        <w:tc>
          <w:tcPr>
            <w:tcW w:w="2199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od ________________</w:t>
            </w:r>
          </w:p>
        </w:tc>
        <w:tc>
          <w:tcPr>
            <w:tcW w:w="4985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do ________________</w:t>
            </w:r>
          </w:p>
        </w:tc>
      </w:tr>
      <w:tr>
        <w:trPr/>
        <w:tc>
          <w:tcPr>
            <w:tcW w:w="1816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ab/>
              <w:tab/>
              <w:t>3.</w:t>
            </w:r>
          </w:p>
        </w:tc>
        <w:tc>
          <w:tcPr>
            <w:tcW w:w="2199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od ________________</w:t>
            </w:r>
          </w:p>
        </w:tc>
        <w:tc>
          <w:tcPr>
            <w:tcW w:w="4985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do ________________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  <w:t>Podpisani/a še izjavlja, seznanjen/a s posledicami lažnih izjav, kot določa DPR št. 445/2000, da družinski član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>ni v bolnici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>ni v RSA (Zdravstvena rezidenca)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 xml:space="preserve">je v domu, kjer </w:t>
      </w:r>
      <w:r>
        <w:rPr>
          <w:rStyle w:val="Carpredefinitoparagrafo"/>
          <w:b/>
          <w:bCs/>
        </w:rPr>
        <w:t>je</w:t>
      </w:r>
      <w:r>
        <w:rPr/>
        <w:t xml:space="preserve"> zagotovljena neprekinjena zdravstvena storitev</w:t>
      </w:r>
    </w:p>
    <w:p>
      <w:pPr>
        <w:pStyle w:val="Normal"/>
        <w:spacing w:lineRule="auto" w:line="360"/>
        <w:jc w:val="both"/>
        <w:rPr/>
      </w:pPr>
      <w:r>
        <w:rPr/>
        <w:t>(predložil/a sem izjavo, da ustanova potrebuje družinsko pomoč)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 xml:space="preserve">je v rezidenci hotelskega tipa, kjer </w:t>
      </w:r>
      <w:r>
        <w:rPr>
          <w:rStyle w:val="Carpredefinitoparagrafo"/>
          <w:b/>
          <w:bCs/>
        </w:rPr>
        <w:t>je</w:t>
      </w:r>
      <w:r>
        <w:rPr/>
        <w:t xml:space="preserve"> zagotovljena neprekinjena zdravstvena storitev</w:t>
      </w:r>
    </w:p>
    <w:p>
      <w:pPr>
        <w:pStyle w:val="Normal"/>
        <w:spacing w:lineRule="auto" w:line="360"/>
        <w:jc w:val="both"/>
        <w:rPr/>
      </w:pPr>
      <w:r>
        <w:rPr/>
        <w:t>(predložil/a sem izjavo, da ustanova potrebuje družinsko pomoč)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 xml:space="preserve">je v domu, kjer </w:t>
      </w:r>
      <w:r>
        <w:rPr>
          <w:rStyle w:val="Carpredefinitoparagrafo"/>
          <w:b/>
          <w:bCs/>
        </w:rPr>
        <w:t>ni</w:t>
      </w:r>
      <w:r>
        <w:rPr/>
        <w:t xml:space="preserve"> zagotovljene neprekinjene zdravstvene storitve</w:t>
      </w:r>
    </w:p>
    <w:p>
      <w:pPr>
        <w:pStyle w:val="Normal"/>
        <w:spacing w:lineRule="auto" w:line="360"/>
        <w:jc w:val="both"/>
        <w:rPr/>
      </w:pPr>
      <w:r>
        <w:rPr/>
        <w:t xml:space="preserve"> </w:t>
      </w:r>
      <w:r>
        <w:rPr/>
        <w:t xml:space="preserve">je v rezidenci hotelskega tipa, kjer </w:t>
      </w:r>
      <w:r>
        <w:rPr>
          <w:rStyle w:val="Carpredefinitoparagrafo"/>
          <w:b/>
          <w:bCs/>
        </w:rPr>
        <w:t>ni</w:t>
      </w:r>
      <w:r>
        <w:rPr/>
        <w:t xml:space="preserve"> zagotovljene neprekinjene zdravstvene storitve</w:t>
      </w:r>
    </w:p>
    <w:p>
      <w:pPr>
        <w:pStyle w:val="Normal"/>
        <w:spacing w:lineRule="auto" w:line="360"/>
        <w:jc w:val="both"/>
        <w:rPr/>
      </w:pPr>
      <w:r>
        <w:rPr/>
        <w:t>in da ni nihče od ostalih sorodnikov zaprosil za nudenje pomoči omenjeni osebi.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981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160"/>
        <w:gridCol w:w="2340"/>
        <w:gridCol w:w="4473"/>
      </w:tblGrid>
      <w:tr>
        <w:trPr/>
        <w:tc>
          <w:tcPr>
            <w:tcW w:w="100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Datum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80" w:after="0"/>
              <w:jc w:val="end"/>
              <w:rPr/>
            </w:pPr>
            <w:r>
              <w:rPr/>
              <w:t>Podpis</w:t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en-GB"/>
      </w:rPr>
    </w:pPr>
    <w:r>
      <w:rPr>
        <w:rFonts w:eastAsia="Georgia" w:cs="Georgia" w:ascii="Georgia" w:hAnsi="Georgia"/>
        <w:i/>
        <w:iCs/>
        <w:sz w:val="16"/>
        <w:szCs w:val="16"/>
        <w:lang w:val="en-GB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 w:eastAsia="Cambria" w:cs="Cambria"/>
      <w:color w:val="243F60"/>
      <w:sz w:val="24"/>
      <w:szCs w:val="24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Intestazioneuser">
    <w:name w:val="Intestazione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eastAsia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eastAsia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eastAsia="DLMKBE+Verdana" w:cs="DLMKBE+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4" w:before="0" w:after="160"/>
      <w:ind w:start="720"/>
    </w:pPr>
    <w:rPr>
      <w:rFonts w:ascii="Calibri" w:hAnsi="Calibri" w:eastAsia="Calibri" w:cs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/>
  </w:style>
  <w:style w:type="paragraph" w:styleId="Header">
    <w:name w:val="head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</TotalTime>
  <Application>LibreOffice/24.8.5.2$Windows_X86_64 LibreOffice_project/fddf2685c70b461e7832239a0162a77216259f22</Application>
  <AppVersion>15.0000</AppVersion>
  <Pages>1</Pages>
  <Words>333</Words>
  <Characters>1805</Characters>
  <CharactersWithSpaces>2120</CharactersWithSpaces>
  <Paragraphs>50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/>
  <cp:lastPrinted>2025-01-13T09:23:00Z</cp:lastPrinted>
  <dcterms:modified xsi:type="dcterms:W3CDTF">2025-04-07T10:48:27Z</dcterms:modified>
  <cp:revision>27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