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801" w:leader="none"/>
        </w:tabs>
        <w:jc w:val="center"/>
        <w:rPr>
          <w:rFonts w:ascii="Book Antiqua" w:hAnsi="Book Antiqua" w:cs="Book Antiqua"/>
          <w:sz w:val="18"/>
          <w:szCs w:val="18"/>
        </w:rPr>
      </w:pPr>
      <w:r>
        <w:rPr>
          <w:rFonts w:cs="Book Antiqua" w:ascii="Book Antiqua" w:hAnsi="Book Antiqua"/>
          <w:sz w:val="18"/>
          <w:szCs w:val="18"/>
        </w:rPr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PROŠNJA ZA KRAJŠO ODSOTNOST</w:t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(</w:t>
      </w:r>
      <w:r>
        <w:rPr>
          <w:rStyle w:val="Carpredefinitoparagrafo"/>
          <w:b/>
        </w:rPr>
        <w:t>v smislu 16. čl. KDPŠ 29.11.2007)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900"/>
        <w:gridCol w:w="540"/>
        <w:gridCol w:w="1620"/>
        <w:gridCol w:w="2520"/>
        <w:gridCol w:w="91"/>
        <w:gridCol w:w="347"/>
        <w:gridCol w:w="1399"/>
        <w:gridCol w:w="1969"/>
      </w:tblGrid>
      <w:tr>
        <w:trPr/>
        <w:tc>
          <w:tcPr>
            <w:tcW w:w="1368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511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399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06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80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908" w:type="dxa"/>
            <w:gridSpan w:val="3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ul./trg/kraj/cesta</w:t>
            </w:r>
          </w:p>
        </w:tc>
        <w:tc>
          <w:tcPr>
            <w:tcW w:w="423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715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 kot</w:t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 xml:space="preserve">vzgojitelj/ica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učitelj/ica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>profesor/ica</w:t>
            </w:r>
          </w:p>
          <w:p>
            <w:pPr>
              <w:pStyle w:val="Normal"/>
              <w:spacing w:before="8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 </w:t>
            </w:r>
          </w:p>
          <w:p>
            <w:pPr>
              <w:pStyle w:val="Normal"/>
              <w:spacing w:before="80" w:after="0"/>
              <w:jc w:val="both"/>
              <w:rPr/>
            </w:pPr>
            <w:r>
              <w:rPr/>
              <w:t xml:space="preserve">za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določen čas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nedoločen čas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</w:tc>
      </w:tr>
      <w:tr>
        <w:trPr/>
        <w:tc>
          <w:tcPr>
            <w:tcW w:w="9854" w:type="dxa"/>
            <w:gridSpan w:val="9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za krajšo odsotnost dne __________________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od _________ure do _________ ure za skupnih _________ ur.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 xml:space="preserve">V času odsotnosti me bo nadomeščal/a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vzg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uč.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prof.: _______________________.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  <w:t>Obvežem se, da bom odsotnost nadoknadil/a v roku dveh mesecev od dneva odsotnosti z nadomeščanjem odsotnih kolegov ali z nadurnim delom v okviru dodatnih didaktičnih dejavnosti.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85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160"/>
        <w:gridCol w:w="2340"/>
        <w:gridCol w:w="4346"/>
      </w:tblGrid>
      <w:tr>
        <w:trPr/>
        <w:tc>
          <w:tcPr>
            <w:tcW w:w="100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Datum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80" w:after="0"/>
              <w:jc w:val="end"/>
              <w:rPr/>
            </w:pPr>
            <w:r>
              <w:rPr/>
              <w:t>Podpis</w:t>
            </w:r>
          </w:p>
        </w:tc>
        <w:tc>
          <w:tcPr>
            <w:tcW w:w="4346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en-GB"/>
      </w:rPr>
    </w:pPr>
    <w:r>
      <w:rPr>
        <w:rFonts w:eastAsia="Georgia" w:cs="Georgia" w:ascii="Georgia" w:hAnsi="Georgia"/>
        <w:i/>
        <w:iCs/>
        <w:sz w:val="16"/>
        <w:szCs w:val="16"/>
        <w:lang w:val="en-GB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sl-SI" w:eastAsia="ar-SA" w:bidi="hi-IN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9"/>
        <w:tab w:val="left" w:pos="360" w:leader="none"/>
      </w:tabs>
      <w:suppressAutoHyphens w:val="true"/>
      <w:ind w:end="720"/>
      <w:jc w:val="center"/>
      <w:outlineLvl w:val="1"/>
    </w:pPr>
    <w:rPr/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/>
      <w:color w:val="243F60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9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user">
    <w:name w:val="Intestazione (user)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9"/>
      </w:tabs>
      <w:suppressAutoHyphens w:val="true"/>
      <w:ind w:start="-360" w:end="-82"/>
      <w:jc w:val="both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9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9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cs="DLMKBE+Verdana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9"/>
      </w:tabs>
      <w:suppressAutoHyphens w:val="false"/>
      <w:spacing w:lineRule="auto" w:line="254" w:before="0" w:after="160"/>
      <w:ind w:start="720"/>
    </w:pPr>
    <w:rPr>
      <w:rFonts w:ascii="Calibri" w:hAnsi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LibreOffice/24.8.5.2$Windows_X86_64 LibreOffice_project/fddf2685c70b461e7832239a0162a77216259f22</Application>
  <AppVersion>15.0000</AppVersion>
  <Pages>1</Pages>
  <Words>117</Words>
  <Characters>670</Characters>
  <CharactersWithSpaces>786</CharactersWithSpaces>
  <Paragraphs>1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>Standard</cp:lastModifiedBy>
  <cp:lastPrinted>2025-01-13T09:07:00Z</cp:lastPrinted>
  <dcterms:modified xsi:type="dcterms:W3CDTF">2025-01-13T09:07:00Z</dcterms:modified>
  <cp:revision>15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